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635" w:tblpY="475"/>
        <w:tblW w:w="5523" w:type="pct"/>
        <w:tblLayout w:type="fixed"/>
        <w:tblLook w:val="04A0" w:firstRow="1" w:lastRow="0" w:firstColumn="1" w:lastColumn="0" w:noHBand="0" w:noVBand="1"/>
      </w:tblPr>
      <w:tblGrid>
        <w:gridCol w:w="4769"/>
        <w:gridCol w:w="5041"/>
        <w:gridCol w:w="4495"/>
      </w:tblGrid>
      <w:tr w:rsidR="00B165B8" w14:paraId="25415DFA" w14:textId="24DA2038" w:rsidTr="00CF3B44">
        <w:trPr>
          <w:trHeight w:val="537"/>
        </w:trPr>
        <w:tc>
          <w:tcPr>
            <w:tcW w:w="1667" w:type="pct"/>
            <w:shd w:val="clear" w:color="auto" w:fill="2E74B5" w:themeFill="accent5" w:themeFillShade="BF"/>
          </w:tcPr>
          <w:p w14:paraId="570D5CAF" w14:textId="77777777" w:rsidR="00B165B8" w:rsidRPr="00732722" w:rsidRDefault="00B165B8" w:rsidP="00B165B8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732722">
              <w:rPr>
                <w:rFonts w:ascii="Franklin Gothic Book" w:hAnsi="Franklin Gothic Book"/>
                <w:b/>
                <w:bCs/>
                <w:sz w:val="28"/>
                <w:szCs w:val="28"/>
              </w:rPr>
              <w:t>Operational Coordination</w:t>
            </w:r>
          </w:p>
          <w:p w14:paraId="6F2C8A65" w14:textId="77777777" w:rsidR="00B165B8" w:rsidRPr="00732722" w:rsidRDefault="00B165B8" w:rsidP="00B165B8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  <w:tc>
          <w:tcPr>
            <w:tcW w:w="1762" w:type="pct"/>
            <w:shd w:val="clear" w:color="auto" w:fill="2E74B5" w:themeFill="accent5" w:themeFillShade="BF"/>
          </w:tcPr>
          <w:p w14:paraId="6B78DFB3" w14:textId="77777777" w:rsidR="00B165B8" w:rsidRPr="00732722" w:rsidRDefault="00B165B8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732722">
              <w:rPr>
                <w:rFonts w:ascii="Franklin Gothic Book" w:hAnsi="Franklin Gothic Book"/>
                <w:b/>
                <w:bCs/>
                <w:sz w:val="28"/>
                <w:szCs w:val="28"/>
              </w:rPr>
              <w:t>Cybersecurity</w:t>
            </w:r>
          </w:p>
          <w:p w14:paraId="1AC64665" w14:textId="77777777" w:rsidR="00B165B8" w:rsidRPr="00732722" w:rsidRDefault="00B165B8" w:rsidP="00CA6CDE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  <w:tc>
          <w:tcPr>
            <w:tcW w:w="1571" w:type="pct"/>
            <w:shd w:val="clear" w:color="auto" w:fill="2E74B5" w:themeFill="accent5" w:themeFillShade="BF"/>
          </w:tcPr>
          <w:p w14:paraId="3A090C41" w14:textId="77777777" w:rsidR="00B165B8" w:rsidRPr="00732722" w:rsidRDefault="00B165B8">
            <w:pPr>
              <w:tabs>
                <w:tab w:val="left" w:pos="535"/>
                <w:tab w:val="center" w:pos="2414"/>
              </w:tabs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732722">
              <w:rPr>
                <w:rFonts w:ascii="Franklin Gothic Book" w:hAnsi="Franklin Gothic Book"/>
                <w:b/>
                <w:bCs/>
                <w:sz w:val="28"/>
                <w:szCs w:val="28"/>
              </w:rPr>
              <w:t>Workforce</w:t>
            </w:r>
          </w:p>
          <w:p w14:paraId="5F12BD23" w14:textId="7D66E357" w:rsidR="00B165B8" w:rsidRPr="00732722" w:rsidRDefault="00B165B8" w:rsidP="00CA6CDE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</w:tr>
      <w:tr w:rsidR="002A2ED5" w14:paraId="6A1E18EA" w14:textId="1567211A" w:rsidTr="00732722">
        <w:trPr>
          <w:trHeight w:val="245"/>
        </w:trPr>
        <w:tc>
          <w:tcPr>
            <w:tcW w:w="1667" w:type="pct"/>
            <w:shd w:val="clear" w:color="auto" w:fill="D9D9D9" w:themeFill="background1" w:themeFillShade="D9"/>
          </w:tcPr>
          <w:p w14:paraId="0D2AFC36" w14:textId="7A9648B9" w:rsidR="002A2ED5" w:rsidRDefault="002A2ED5" w:rsidP="001B29B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Regional Priority: </w:t>
            </w:r>
            <w:r w:rsidR="00FB6888" w:rsidRPr="003321B6">
              <w:rPr>
                <w:rFonts w:ascii="Franklin Gothic Book" w:hAnsi="Franklin Gothic Book"/>
              </w:rPr>
              <w:t>Regional</w:t>
            </w:r>
            <w:r w:rsidR="00244EB0">
              <w:rPr>
                <w:rFonts w:ascii="Franklin Gothic Book" w:hAnsi="Franklin Gothic Book"/>
              </w:rPr>
              <w:t xml:space="preserve"> coordination of capabilities and resources for an </w:t>
            </w:r>
            <w:r w:rsidR="007F7DCD" w:rsidRPr="007F7DCD">
              <w:rPr>
                <w:rFonts w:ascii="Franklin Gothic Book" w:hAnsi="Franklin Gothic Book"/>
              </w:rPr>
              <w:t>effective operational response to threats in the National Capit</w:t>
            </w:r>
            <w:r w:rsidR="003E1DEC">
              <w:rPr>
                <w:rFonts w:ascii="Franklin Gothic Book" w:hAnsi="Franklin Gothic Book"/>
              </w:rPr>
              <w:t>a</w:t>
            </w:r>
            <w:r w:rsidR="007F7DCD" w:rsidRPr="007F7DCD">
              <w:rPr>
                <w:rFonts w:ascii="Franklin Gothic Book" w:hAnsi="Franklin Gothic Book"/>
              </w:rPr>
              <w:t>l Region</w:t>
            </w:r>
            <w:r w:rsidR="003E1DEC">
              <w:rPr>
                <w:rFonts w:ascii="Franklin Gothic Book" w:hAnsi="Franklin Gothic Book"/>
              </w:rPr>
              <w:t xml:space="preserve"> (NCR)</w:t>
            </w:r>
            <w:r w:rsidR="007F7DCD" w:rsidRPr="007F7DCD">
              <w:rPr>
                <w:rFonts w:ascii="Franklin Gothic Book" w:hAnsi="Franklin Gothic Book"/>
              </w:rPr>
              <w:t>.</w:t>
            </w:r>
          </w:p>
          <w:p w14:paraId="5696591B" w14:textId="058C2A3E" w:rsidR="008A14A3" w:rsidRPr="00CA4459" w:rsidRDefault="008A14A3" w:rsidP="001B29B3">
            <w:pPr>
              <w:rPr>
                <w:rFonts w:ascii="Franklin Gothic Book" w:hAnsi="Franklin Gothic Book"/>
                <w:b/>
                <w:bCs/>
                <w:i/>
                <w:iCs/>
              </w:rPr>
            </w:pPr>
          </w:p>
        </w:tc>
        <w:tc>
          <w:tcPr>
            <w:tcW w:w="1762" w:type="pct"/>
            <w:shd w:val="clear" w:color="auto" w:fill="D9D9D9" w:themeFill="background1" w:themeFillShade="D9"/>
          </w:tcPr>
          <w:p w14:paraId="5A73A6F9" w14:textId="7813ADEC" w:rsidR="002A2ED5" w:rsidRDefault="002A2ED5" w:rsidP="009A3B9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Regional Priority: </w:t>
            </w:r>
            <w:r w:rsidR="006E634A">
              <w:rPr>
                <w:rFonts w:ascii="Franklin Gothic Book" w:hAnsi="Franklin Gothic Book"/>
              </w:rPr>
              <w:t>Regional approach to prevention, mitigation, and response to cyber events.</w:t>
            </w:r>
          </w:p>
          <w:p w14:paraId="2F224AB2" w14:textId="77777777" w:rsidR="00071CD9" w:rsidRDefault="00071CD9" w:rsidP="009A3B94">
            <w:pPr>
              <w:rPr>
                <w:rFonts w:ascii="Franklin Gothic Book" w:hAnsi="Franklin Gothic Book"/>
                <w:b/>
                <w:bCs/>
              </w:rPr>
            </w:pPr>
          </w:p>
          <w:p w14:paraId="60E531CE" w14:textId="43E00E2A" w:rsidR="00071CD9" w:rsidRPr="00CA4459" w:rsidRDefault="00071CD9" w:rsidP="00C70448">
            <w:pPr>
              <w:rPr>
                <w:rFonts w:ascii="Franklin Gothic Book" w:hAnsi="Franklin Gothic Book"/>
                <w:b/>
                <w:bCs/>
                <w:i/>
                <w:iCs/>
              </w:rPr>
            </w:pPr>
          </w:p>
        </w:tc>
        <w:tc>
          <w:tcPr>
            <w:tcW w:w="1571" w:type="pct"/>
            <w:shd w:val="clear" w:color="auto" w:fill="D9D9D9" w:themeFill="background1" w:themeFillShade="D9"/>
          </w:tcPr>
          <w:p w14:paraId="53B4933C" w14:textId="39E1D83F" w:rsidR="000A38EA" w:rsidRPr="002D3130" w:rsidRDefault="007279A5" w:rsidP="00F244C2">
            <w:pPr>
              <w:tabs>
                <w:tab w:val="left" w:pos="535"/>
                <w:tab w:val="center" w:pos="2414"/>
              </w:tabs>
              <w:rPr>
                <w:rFonts w:ascii="Franklin Gothic Book" w:hAnsi="Franklin Gothic Book"/>
              </w:rPr>
            </w:pPr>
            <w:r w:rsidRPr="62329E4A">
              <w:rPr>
                <w:rFonts w:ascii="Franklin Gothic Book" w:hAnsi="Franklin Gothic Book"/>
                <w:b/>
                <w:bCs/>
              </w:rPr>
              <w:t>Regional Priority:</w:t>
            </w:r>
            <w:r w:rsidR="008966B7">
              <w:rPr>
                <w:rFonts w:ascii="Franklin Gothic Book" w:hAnsi="Franklin Gothic Book"/>
                <w:b/>
                <w:bCs/>
              </w:rPr>
              <w:t xml:space="preserve"> </w:t>
            </w:r>
            <w:r w:rsidR="000A38EA">
              <w:rPr>
                <w:rFonts w:ascii="Franklin Gothic Book" w:hAnsi="Franklin Gothic Book"/>
              </w:rPr>
              <w:t xml:space="preserve">A quality, diverse, and effective workforce across public safety disciplines in the NCR, with an emphasis on recruitment, retention, mental wellness, and leadership development. </w:t>
            </w:r>
          </w:p>
        </w:tc>
      </w:tr>
      <w:tr w:rsidR="008B75E6" w14:paraId="093047A3" w14:textId="498C052C" w:rsidTr="009F4680">
        <w:trPr>
          <w:trHeight w:val="1040"/>
        </w:trPr>
        <w:tc>
          <w:tcPr>
            <w:tcW w:w="1667" w:type="pct"/>
            <w:shd w:val="clear" w:color="auto" w:fill="auto"/>
          </w:tcPr>
          <w:p w14:paraId="221855AF" w14:textId="77777777" w:rsidR="00B87B04" w:rsidRDefault="00B87B04" w:rsidP="004D41C2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0C5651BA" w14:textId="20F996BB" w:rsidR="008B75E6" w:rsidRPr="008E712E" w:rsidRDefault="008B75E6" w:rsidP="004D41C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62329E4A">
              <w:rPr>
                <w:rFonts w:ascii="Franklin Gothic Book" w:hAnsi="Franklin Gothic Book"/>
                <w:b/>
                <w:bCs/>
                <w:sz w:val="22"/>
                <w:szCs w:val="22"/>
              </w:rPr>
              <w:t>Future State Outcome: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44EB0">
              <w:rPr>
                <w:rFonts w:ascii="Franklin Gothic Book" w:hAnsi="Franklin Gothic Book"/>
                <w:sz w:val="22"/>
                <w:szCs w:val="22"/>
              </w:rPr>
              <w:t xml:space="preserve">Strengthened </w:t>
            </w:r>
            <w:r w:rsidR="003A6329">
              <w:rPr>
                <w:rFonts w:ascii="Franklin Gothic Book" w:hAnsi="Franklin Gothic Book"/>
                <w:sz w:val="22"/>
                <w:szCs w:val="22"/>
              </w:rPr>
              <w:t xml:space="preserve">regional governance, policies, and processes for </w:t>
            </w:r>
            <w:r w:rsidR="00244EB0">
              <w:rPr>
                <w:rFonts w:ascii="Franklin Gothic Book" w:hAnsi="Franklin Gothic Book"/>
                <w:sz w:val="22"/>
                <w:szCs w:val="22"/>
              </w:rPr>
              <w:t>coordinat</w:t>
            </w:r>
            <w:r w:rsidR="003A6329">
              <w:rPr>
                <w:rFonts w:ascii="Franklin Gothic Book" w:hAnsi="Franklin Gothic Book"/>
                <w:sz w:val="22"/>
                <w:szCs w:val="22"/>
              </w:rPr>
              <w:t xml:space="preserve">ed response operations </w:t>
            </w:r>
            <w:r w:rsidR="00244EB0">
              <w:rPr>
                <w:rFonts w:ascii="Franklin Gothic Book" w:hAnsi="Franklin Gothic Book"/>
                <w:sz w:val="22"/>
                <w:szCs w:val="22"/>
              </w:rPr>
              <w:t xml:space="preserve">during 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>large-scale, multi-jurisdictional incidents.</w:t>
            </w:r>
          </w:p>
        </w:tc>
        <w:tc>
          <w:tcPr>
            <w:tcW w:w="1762" w:type="pct"/>
            <w:shd w:val="clear" w:color="auto" w:fill="auto"/>
          </w:tcPr>
          <w:p w14:paraId="5F81FFE6" w14:textId="77777777" w:rsidR="00B87B04" w:rsidRDefault="00B87B04" w:rsidP="009F468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668A103B" w14:textId="4A37F36A" w:rsidR="008B75E6" w:rsidRPr="003F4375" w:rsidRDefault="008B75E6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62329E4A">
              <w:rPr>
                <w:rFonts w:ascii="Franklin Gothic Book" w:hAnsi="Franklin Gothic Book"/>
                <w:b/>
                <w:bCs/>
                <w:sz w:val="22"/>
                <w:szCs w:val="22"/>
              </w:rPr>
              <w:t>Future State Outcome</w:t>
            </w:r>
            <w:r w:rsidR="005B5628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D3130">
              <w:rPr>
                <w:rFonts w:ascii="Franklin Gothic Book" w:hAnsi="Franklin Gothic Book"/>
                <w:sz w:val="22"/>
                <w:szCs w:val="22"/>
              </w:rPr>
              <w:t>M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echanism and associated governance </w:t>
            </w:r>
            <w:r w:rsidR="006E634A">
              <w:rPr>
                <w:rFonts w:ascii="Franklin Gothic Book" w:hAnsi="Franklin Gothic Book"/>
                <w:sz w:val="22"/>
                <w:szCs w:val="22"/>
              </w:rPr>
              <w:t>to increase the coordination of cyber</w:t>
            </w:r>
            <w:r w:rsidR="003321B6">
              <w:rPr>
                <w:rFonts w:ascii="Franklin Gothic Book" w:hAnsi="Franklin Gothic Book"/>
                <w:sz w:val="22"/>
                <w:szCs w:val="22"/>
              </w:rPr>
              <w:t xml:space="preserve"> threat </w:t>
            </w:r>
            <w:r w:rsidR="006E634A">
              <w:rPr>
                <w:rFonts w:ascii="Franklin Gothic Book" w:hAnsi="Franklin Gothic Book"/>
                <w:sz w:val="22"/>
                <w:szCs w:val="22"/>
              </w:rPr>
              <w:t>analysis across the region and the sharing of time-sensitive information on cyber events with regional partners.</w:t>
            </w:r>
          </w:p>
        </w:tc>
        <w:tc>
          <w:tcPr>
            <w:tcW w:w="1571" w:type="pct"/>
            <w:shd w:val="clear" w:color="auto" w:fill="auto"/>
          </w:tcPr>
          <w:p w14:paraId="3B21DBC8" w14:textId="77777777" w:rsidR="00B87B04" w:rsidRDefault="00B87B04" w:rsidP="009F468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599D8218" w14:textId="194304F5" w:rsidR="008B75E6" w:rsidRPr="00A42A99" w:rsidRDefault="008B75E6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9D6396">
              <w:rPr>
                <w:rFonts w:ascii="Franklin Gothic Book" w:hAnsi="Franklin Gothic Book"/>
                <w:b/>
                <w:bCs/>
                <w:sz w:val="22"/>
                <w:szCs w:val="22"/>
              </w:rPr>
              <w:t>Future State Outcome: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Identif</w:t>
            </w:r>
            <w:r w:rsidR="005B5628">
              <w:rPr>
                <w:rFonts w:ascii="Franklin Gothic Book" w:hAnsi="Franklin Gothic Book"/>
                <w:sz w:val="22"/>
                <w:szCs w:val="22"/>
              </w:rPr>
              <w:t>ication of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challenges and solutions to workforce recruitment</w:t>
            </w:r>
            <w:r w:rsidR="005B5628">
              <w:rPr>
                <w:rFonts w:ascii="Franklin Gothic Book" w:hAnsi="Franklin Gothic Book"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training</w:t>
            </w:r>
            <w:r w:rsidR="005B5628">
              <w:rPr>
                <w:rFonts w:ascii="Franklin Gothic Book" w:hAnsi="Franklin Gothic Book"/>
                <w:sz w:val="22"/>
                <w:szCs w:val="22"/>
              </w:rPr>
              <w:t>, and retention across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public safety</w:t>
            </w:r>
            <w:r w:rsidR="005B5628">
              <w:rPr>
                <w:rFonts w:ascii="Franklin Gothic Book" w:hAnsi="Franklin Gothic Book"/>
                <w:sz w:val="22"/>
                <w:szCs w:val="22"/>
              </w:rPr>
              <w:t xml:space="preserve"> disciplines</w:t>
            </w:r>
            <w:r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</w:tr>
      <w:tr w:rsidR="008B75E6" w14:paraId="2680013A" w14:textId="32CE283B" w:rsidTr="009F4680">
        <w:trPr>
          <w:trHeight w:val="1250"/>
        </w:trPr>
        <w:tc>
          <w:tcPr>
            <w:tcW w:w="1667" w:type="pct"/>
            <w:shd w:val="clear" w:color="auto" w:fill="auto"/>
          </w:tcPr>
          <w:p w14:paraId="6736AF24" w14:textId="77777777" w:rsidR="00B87B04" w:rsidRDefault="00B87B04" w:rsidP="009F468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4D9743E8" w14:textId="1A9BD492" w:rsidR="008B75E6" w:rsidRPr="00FA710A" w:rsidRDefault="008B75E6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62329E4A">
              <w:rPr>
                <w:rFonts w:ascii="Franklin Gothic Book" w:hAnsi="Franklin Gothic Book"/>
                <w:b/>
                <w:bCs/>
                <w:sz w:val="22"/>
                <w:szCs w:val="22"/>
              </w:rPr>
              <w:t>Future State Outcome: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44EB0">
              <w:rPr>
                <w:rFonts w:ascii="Franklin Gothic Book" w:hAnsi="Franklin Gothic Book"/>
                <w:sz w:val="22"/>
                <w:szCs w:val="22"/>
              </w:rPr>
              <w:t>Coordinated regional</w:t>
            </w:r>
            <w:r w:rsidR="00CF3B44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>information</w:t>
            </w:r>
            <w:r w:rsidR="00244EB0">
              <w:rPr>
                <w:rFonts w:ascii="Franklin Gothic Book" w:hAnsi="Franklin Gothic Book"/>
                <w:sz w:val="22"/>
                <w:szCs w:val="22"/>
              </w:rPr>
              <w:t>-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>sharing</w:t>
            </w:r>
            <w:r w:rsidR="008F29C7">
              <w:rPr>
                <w:rFonts w:ascii="Franklin Gothic Book" w:hAnsi="Franklin Gothic Book"/>
                <w:sz w:val="22"/>
                <w:szCs w:val="22"/>
              </w:rPr>
              <w:t xml:space="preserve"> and integration of intelligence </w:t>
            </w:r>
            <w:r w:rsidR="008F29C7" w:rsidRPr="008F29C7">
              <w:rPr>
                <w:rFonts w:ascii="Franklin Gothic Book" w:hAnsi="Franklin Gothic Book"/>
                <w:sz w:val="22"/>
                <w:szCs w:val="22"/>
              </w:rPr>
              <w:t>analysis</w:t>
            </w:r>
            <w:r w:rsidR="003321B6">
              <w:rPr>
                <w:rFonts w:ascii="Franklin Gothic Book" w:hAnsi="Franklin Gothic Book"/>
                <w:sz w:val="22"/>
                <w:szCs w:val="22"/>
              </w:rPr>
              <w:t xml:space="preserve"> among</w:t>
            </w:r>
            <w:r w:rsidR="00244EB0">
              <w:rPr>
                <w:rFonts w:ascii="Franklin Gothic Book" w:hAnsi="Franklin Gothic Book"/>
                <w:sz w:val="22"/>
                <w:szCs w:val="22"/>
              </w:rPr>
              <w:t xml:space="preserve"> regional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 stakeholders</w:t>
            </w:r>
            <w:r w:rsidR="008F29C7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>before, during, and after incidents.</w:t>
            </w:r>
          </w:p>
        </w:tc>
        <w:tc>
          <w:tcPr>
            <w:tcW w:w="1762" w:type="pct"/>
            <w:shd w:val="clear" w:color="auto" w:fill="auto"/>
          </w:tcPr>
          <w:p w14:paraId="2DC024D5" w14:textId="77777777" w:rsidR="00B87B04" w:rsidRDefault="00B87B04" w:rsidP="009F468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3F14EAC8" w14:textId="204C64B5" w:rsidR="00CF3B44" w:rsidRDefault="00CF3B44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62329E4A">
              <w:rPr>
                <w:rFonts w:ascii="Franklin Gothic Book" w:hAnsi="Franklin Gothic Book"/>
                <w:b/>
                <w:bCs/>
                <w:sz w:val="22"/>
                <w:szCs w:val="22"/>
              </w:rPr>
              <w:t>Future State Outcome: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>R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egional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methodology 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to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strengthen 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>critical infrastructure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against cyber events, including cross-discipline and cascading </w:t>
            </w:r>
            <w:r>
              <w:rPr>
                <w:rFonts w:ascii="Franklin Gothic Book" w:hAnsi="Franklin Gothic Book"/>
                <w:sz w:val="22"/>
                <w:szCs w:val="22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</w:rPr>
              <w:t>upply chain impacts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571" w:type="pct"/>
            <w:shd w:val="clear" w:color="auto" w:fill="auto"/>
          </w:tcPr>
          <w:p w14:paraId="278B2663" w14:textId="77777777" w:rsidR="00B87B04" w:rsidRDefault="00B87B04" w:rsidP="009F468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207FC9C8" w14:textId="1CF96B03" w:rsidR="008B75E6" w:rsidRPr="00D2332C" w:rsidRDefault="3700FEDA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62329E4A">
              <w:rPr>
                <w:rFonts w:ascii="Franklin Gothic Book" w:hAnsi="Franklin Gothic Book"/>
                <w:b/>
                <w:bCs/>
                <w:sz w:val="22"/>
                <w:szCs w:val="22"/>
              </w:rPr>
              <w:t>Future State Outcome:</w:t>
            </w:r>
            <w:r w:rsidRPr="62329E4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C71563">
              <w:rPr>
                <w:rFonts w:ascii="Franklin Gothic Book" w:hAnsi="Franklin Gothic Book"/>
                <w:sz w:val="22"/>
                <w:szCs w:val="22"/>
              </w:rPr>
              <w:t>Regional commitment to new and ongoing mental health and wellness initiatives in the public safety disciplines</w:t>
            </w:r>
            <w:r w:rsidR="00384232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</w:tr>
      <w:tr w:rsidR="00CF3B44" w14:paraId="5983DB85" w14:textId="753BC02D" w:rsidTr="004D41C2">
        <w:trPr>
          <w:trHeight w:val="1400"/>
        </w:trPr>
        <w:tc>
          <w:tcPr>
            <w:tcW w:w="1667" w:type="pct"/>
            <w:shd w:val="clear" w:color="auto" w:fill="auto"/>
          </w:tcPr>
          <w:p w14:paraId="23D8AB7F" w14:textId="77777777" w:rsidR="00B87B04" w:rsidRDefault="00B87B04" w:rsidP="009F468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167F480D" w14:textId="37E9EA92" w:rsidR="00CF3B44" w:rsidRPr="00D2332C" w:rsidRDefault="00CF3B44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Future State Outcome: </w:t>
            </w:r>
            <w:r>
              <w:rPr>
                <w:rFonts w:ascii="Franklin Gothic Book" w:hAnsi="Franklin Gothic Book"/>
                <w:sz w:val="22"/>
                <w:szCs w:val="22"/>
              </w:rPr>
              <w:t>Standardized regional governance, policy, and equipment for the operationalization and maintenance of interoperable communications.</w:t>
            </w:r>
          </w:p>
        </w:tc>
        <w:tc>
          <w:tcPr>
            <w:tcW w:w="1762" w:type="pct"/>
            <w:shd w:val="clear" w:color="auto" w:fill="auto"/>
          </w:tcPr>
          <w:p w14:paraId="2BFBDA57" w14:textId="2A4516D5" w:rsidR="00CF3B44" w:rsidRPr="00456F09" w:rsidRDefault="00CF3B44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71" w:type="pct"/>
            <w:shd w:val="clear" w:color="auto" w:fill="auto"/>
          </w:tcPr>
          <w:p w14:paraId="41E1ACB2" w14:textId="77777777" w:rsidR="00B87B04" w:rsidRDefault="00B87B04" w:rsidP="009F468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77F3F73F" w14:textId="3F51D83F" w:rsidR="00CF3B44" w:rsidRPr="00DC16E9" w:rsidRDefault="00CF3B44" w:rsidP="009F4680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16E35">
              <w:rPr>
                <w:rFonts w:ascii="Franklin Gothic Book" w:hAnsi="Franklin Gothic Book"/>
                <w:b/>
                <w:bCs/>
                <w:sz w:val="22"/>
                <w:szCs w:val="22"/>
              </w:rPr>
              <w:t>Future State Outcome: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Leadership development training for future leaders in public safety disciplines to ensure an ongoing commitment to regionalism, knowledge sharing, and succession planning in the NCR.</w:t>
            </w:r>
          </w:p>
        </w:tc>
      </w:tr>
    </w:tbl>
    <w:p w14:paraId="624B3527" w14:textId="77777777" w:rsidR="00516652" w:rsidRPr="00DD2071" w:rsidRDefault="00516652" w:rsidP="00E90D85">
      <w:pPr>
        <w:rPr>
          <w:rFonts w:ascii="Franklin Gothic Book" w:hAnsi="Franklin Gothic Book"/>
          <w:sz w:val="22"/>
          <w:szCs w:val="22"/>
        </w:rPr>
      </w:pPr>
    </w:p>
    <w:sectPr w:rsidR="00516652" w:rsidRPr="00DD2071" w:rsidSect="00BC5CDE">
      <w:headerReference w:type="default" r:id="rId11"/>
      <w:pgSz w:w="15840" w:h="12240" w:orient="landscape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1928" w14:textId="77777777" w:rsidR="00BA2F3B" w:rsidRDefault="00BA2F3B" w:rsidP="00E90B34">
      <w:r>
        <w:separator/>
      </w:r>
    </w:p>
  </w:endnote>
  <w:endnote w:type="continuationSeparator" w:id="0">
    <w:p w14:paraId="11635CFC" w14:textId="77777777" w:rsidR="00BA2F3B" w:rsidRDefault="00BA2F3B" w:rsidP="00E90B34">
      <w:r>
        <w:continuationSeparator/>
      </w:r>
    </w:p>
  </w:endnote>
  <w:endnote w:type="continuationNotice" w:id="1">
    <w:p w14:paraId="23DEC21B" w14:textId="77777777" w:rsidR="00545E4C" w:rsidRDefault="00545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E0E0" w14:textId="77777777" w:rsidR="00BA2F3B" w:rsidRDefault="00BA2F3B" w:rsidP="00E90B34">
      <w:r>
        <w:separator/>
      </w:r>
    </w:p>
  </w:footnote>
  <w:footnote w:type="continuationSeparator" w:id="0">
    <w:p w14:paraId="4755C643" w14:textId="77777777" w:rsidR="00BA2F3B" w:rsidRDefault="00BA2F3B" w:rsidP="00E90B34">
      <w:r>
        <w:continuationSeparator/>
      </w:r>
    </w:p>
  </w:footnote>
  <w:footnote w:type="continuationNotice" w:id="1">
    <w:p w14:paraId="68CB747C" w14:textId="77777777" w:rsidR="00545E4C" w:rsidRDefault="00545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C47F" w14:textId="77777777" w:rsidR="00BA2F3B" w:rsidRDefault="00E90B34" w:rsidP="0040323D">
    <w:r>
      <w:rPr>
        <w:noProof/>
      </w:rPr>
      <w:drawing>
        <wp:inline distT="0" distB="0" distL="0" distR="0" wp14:anchorId="362AE360" wp14:editId="0896AC58">
          <wp:extent cx="2286000" cy="42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5976" cy="437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A2F3B">
      <w:t xml:space="preserve"> </w:t>
    </w:r>
  </w:p>
  <w:p w14:paraId="2F74E986" w14:textId="77777777" w:rsidR="00BA2F3B" w:rsidRDefault="00BA2F3B" w:rsidP="0040323D">
    <w:pPr>
      <w:jc w:val="center"/>
      <w:rPr>
        <w:rFonts w:ascii="Franklin Gothic Book" w:hAnsi="Franklin Gothic Book"/>
        <w:b/>
        <w:bCs/>
      </w:rPr>
    </w:pPr>
  </w:p>
  <w:p w14:paraId="3711D198" w14:textId="3667B6A1" w:rsidR="00BA2F3B" w:rsidRPr="002022F3" w:rsidDel="003E1DEC" w:rsidRDefault="00BA2F3B" w:rsidP="0040323D">
    <w:pPr>
      <w:jc w:val="center"/>
      <w:rPr>
        <w:rFonts w:ascii="Franklin Gothic Book" w:hAnsi="Franklin Gothic Book"/>
        <w:b/>
        <w:bCs/>
        <w:sz w:val="28"/>
        <w:szCs w:val="28"/>
      </w:rPr>
    </w:pPr>
    <w:r w:rsidRPr="002022F3" w:rsidDel="003E1DEC">
      <w:rPr>
        <w:rFonts w:ascii="Franklin Gothic Book" w:hAnsi="Franklin Gothic Book"/>
        <w:b/>
        <w:bCs/>
      </w:rPr>
      <w:t>Regional Emergency Support Function (RESF) &amp; Regional Programmatic Working Group (RPWG) Regional Priority Input</w:t>
    </w:r>
  </w:p>
  <w:p w14:paraId="16CA77B8" w14:textId="41A274CF" w:rsidR="00BA2F3B" w:rsidRDefault="00BA2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402"/>
    <w:multiLevelType w:val="hybridMultilevel"/>
    <w:tmpl w:val="67C0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F2E"/>
    <w:multiLevelType w:val="hybridMultilevel"/>
    <w:tmpl w:val="8B0C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4EC"/>
    <w:multiLevelType w:val="hybridMultilevel"/>
    <w:tmpl w:val="B4F8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2891"/>
    <w:multiLevelType w:val="hybridMultilevel"/>
    <w:tmpl w:val="F882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5C80"/>
    <w:multiLevelType w:val="hybridMultilevel"/>
    <w:tmpl w:val="CCE6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6F68"/>
    <w:multiLevelType w:val="hybridMultilevel"/>
    <w:tmpl w:val="F8021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3B1D54"/>
    <w:multiLevelType w:val="hybridMultilevel"/>
    <w:tmpl w:val="97CA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3643"/>
    <w:multiLevelType w:val="hybridMultilevel"/>
    <w:tmpl w:val="C926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E5551"/>
    <w:multiLevelType w:val="hybridMultilevel"/>
    <w:tmpl w:val="914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59D0"/>
    <w:multiLevelType w:val="hybridMultilevel"/>
    <w:tmpl w:val="7CAE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71"/>
    <w:rsid w:val="00016E35"/>
    <w:rsid w:val="00052A8A"/>
    <w:rsid w:val="00057010"/>
    <w:rsid w:val="00071CD9"/>
    <w:rsid w:val="000A38EA"/>
    <w:rsid w:val="000D6E5F"/>
    <w:rsid w:val="000E4069"/>
    <w:rsid w:val="0010537B"/>
    <w:rsid w:val="00112560"/>
    <w:rsid w:val="00143737"/>
    <w:rsid w:val="00146587"/>
    <w:rsid w:val="00150A5C"/>
    <w:rsid w:val="00152A5A"/>
    <w:rsid w:val="001559D1"/>
    <w:rsid w:val="00184233"/>
    <w:rsid w:val="00191ADD"/>
    <w:rsid w:val="001B1EB0"/>
    <w:rsid w:val="001B29B3"/>
    <w:rsid w:val="001C1D57"/>
    <w:rsid w:val="002022F3"/>
    <w:rsid w:val="00220F29"/>
    <w:rsid w:val="002359D6"/>
    <w:rsid w:val="00244EB0"/>
    <w:rsid w:val="00245989"/>
    <w:rsid w:val="00254B8F"/>
    <w:rsid w:val="0025548D"/>
    <w:rsid w:val="00283A21"/>
    <w:rsid w:val="002A2ED5"/>
    <w:rsid w:val="002A5482"/>
    <w:rsid w:val="002C3D9A"/>
    <w:rsid w:val="002C7BC3"/>
    <w:rsid w:val="002C7CA9"/>
    <w:rsid w:val="002D3130"/>
    <w:rsid w:val="002D6E9A"/>
    <w:rsid w:val="002F0DC6"/>
    <w:rsid w:val="00307BD3"/>
    <w:rsid w:val="00315AAF"/>
    <w:rsid w:val="003321B6"/>
    <w:rsid w:val="00376AB1"/>
    <w:rsid w:val="00384232"/>
    <w:rsid w:val="003A6329"/>
    <w:rsid w:val="003C4E63"/>
    <w:rsid w:val="003E1DEC"/>
    <w:rsid w:val="003F1280"/>
    <w:rsid w:val="003F4375"/>
    <w:rsid w:val="0040323D"/>
    <w:rsid w:val="004035A7"/>
    <w:rsid w:val="0040397B"/>
    <w:rsid w:val="0041171D"/>
    <w:rsid w:val="0041408B"/>
    <w:rsid w:val="00426C08"/>
    <w:rsid w:val="004403D1"/>
    <w:rsid w:val="0044204E"/>
    <w:rsid w:val="00456F09"/>
    <w:rsid w:val="004573C5"/>
    <w:rsid w:val="0047338D"/>
    <w:rsid w:val="00480E54"/>
    <w:rsid w:val="00482CF1"/>
    <w:rsid w:val="004916C4"/>
    <w:rsid w:val="00495D6A"/>
    <w:rsid w:val="004A617B"/>
    <w:rsid w:val="004B7FDD"/>
    <w:rsid w:val="004D00ED"/>
    <w:rsid w:val="004D41C2"/>
    <w:rsid w:val="004E30F3"/>
    <w:rsid w:val="004E703D"/>
    <w:rsid w:val="005162FB"/>
    <w:rsid w:val="00516652"/>
    <w:rsid w:val="00523585"/>
    <w:rsid w:val="00545E4C"/>
    <w:rsid w:val="00566569"/>
    <w:rsid w:val="00567BE9"/>
    <w:rsid w:val="0057350F"/>
    <w:rsid w:val="005759C7"/>
    <w:rsid w:val="005774C4"/>
    <w:rsid w:val="00593184"/>
    <w:rsid w:val="005941F6"/>
    <w:rsid w:val="005A207E"/>
    <w:rsid w:val="005B5628"/>
    <w:rsid w:val="005E2419"/>
    <w:rsid w:val="005E2FE6"/>
    <w:rsid w:val="005F5A7C"/>
    <w:rsid w:val="006222DC"/>
    <w:rsid w:val="0062414D"/>
    <w:rsid w:val="0062618A"/>
    <w:rsid w:val="00626E98"/>
    <w:rsid w:val="0063235F"/>
    <w:rsid w:val="00654C17"/>
    <w:rsid w:val="00660586"/>
    <w:rsid w:val="006660E1"/>
    <w:rsid w:val="00670172"/>
    <w:rsid w:val="00692E91"/>
    <w:rsid w:val="00694FAA"/>
    <w:rsid w:val="006A6A5F"/>
    <w:rsid w:val="006B7761"/>
    <w:rsid w:val="006C00DB"/>
    <w:rsid w:val="006E2341"/>
    <w:rsid w:val="006E634A"/>
    <w:rsid w:val="007225CA"/>
    <w:rsid w:val="00727029"/>
    <w:rsid w:val="007279A5"/>
    <w:rsid w:val="00732722"/>
    <w:rsid w:val="00777370"/>
    <w:rsid w:val="00780217"/>
    <w:rsid w:val="00795459"/>
    <w:rsid w:val="007A2B14"/>
    <w:rsid w:val="007F3951"/>
    <w:rsid w:val="007F7DCD"/>
    <w:rsid w:val="00815371"/>
    <w:rsid w:val="0082596A"/>
    <w:rsid w:val="00834657"/>
    <w:rsid w:val="00835A37"/>
    <w:rsid w:val="00847477"/>
    <w:rsid w:val="00864922"/>
    <w:rsid w:val="008948F2"/>
    <w:rsid w:val="008966B7"/>
    <w:rsid w:val="008A14A3"/>
    <w:rsid w:val="008B75E6"/>
    <w:rsid w:val="008D3461"/>
    <w:rsid w:val="008E712E"/>
    <w:rsid w:val="008F29C7"/>
    <w:rsid w:val="0091264C"/>
    <w:rsid w:val="0097422F"/>
    <w:rsid w:val="00990036"/>
    <w:rsid w:val="0099406B"/>
    <w:rsid w:val="009958E4"/>
    <w:rsid w:val="009966A3"/>
    <w:rsid w:val="009A3B94"/>
    <w:rsid w:val="009B4452"/>
    <w:rsid w:val="009D6396"/>
    <w:rsid w:val="009D6A39"/>
    <w:rsid w:val="009F4680"/>
    <w:rsid w:val="00A13900"/>
    <w:rsid w:val="00A22ED6"/>
    <w:rsid w:val="00A277F0"/>
    <w:rsid w:val="00A300A5"/>
    <w:rsid w:val="00A42A99"/>
    <w:rsid w:val="00A6571F"/>
    <w:rsid w:val="00AD1EC4"/>
    <w:rsid w:val="00AE1E6F"/>
    <w:rsid w:val="00AE62DF"/>
    <w:rsid w:val="00B004C0"/>
    <w:rsid w:val="00B07BBF"/>
    <w:rsid w:val="00B165B8"/>
    <w:rsid w:val="00B25D25"/>
    <w:rsid w:val="00B260B9"/>
    <w:rsid w:val="00B3638D"/>
    <w:rsid w:val="00B51AD0"/>
    <w:rsid w:val="00B61E35"/>
    <w:rsid w:val="00B87B04"/>
    <w:rsid w:val="00BA09EC"/>
    <w:rsid w:val="00BA2F3B"/>
    <w:rsid w:val="00BC4B52"/>
    <w:rsid w:val="00BC5CDE"/>
    <w:rsid w:val="00BD63AA"/>
    <w:rsid w:val="00BD72BE"/>
    <w:rsid w:val="00BE1D9A"/>
    <w:rsid w:val="00BF4D79"/>
    <w:rsid w:val="00C4219F"/>
    <w:rsid w:val="00C4660C"/>
    <w:rsid w:val="00C64DEB"/>
    <w:rsid w:val="00C6520F"/>
    <w:rsid w:val="00C70448"/>
    <w:rsid w:val="00C71563"/>
    <w:rsid w:val="00C8093B"/>
    <w:rsid w:val="00C84EB2"/>
    <w:rsid w:val="00CA1A66"/>
    <w:rsid w:val="00CA4459"/>
    <w:rsid w:val="00CA6CDE"/>
    <w:rsid w:val="00CB0EBE"/>
    <w:rsid w:val="00CE535B"/>
    <w:rsid w:val="00CF3B44"/>
    <w:rsid w:val="00D225C7"/>
    <w:rsid w:val="00D2332C"/>
    <w:rsid w:val="00D247CC"/>
    <w:rsid w:val="00D357C5"/>
    <w:rsid w:val="00D53C73"/>
    <w:rsid w:val="00D7124C"/>
    <w:rsid w:val="00D854FC"/>
    <w:rsid w:val="00D96679"/>
    <w:rsid w:val="00DA79C4"/>
    <w:rsid w:val="00DC16E9"/>
    <w:rsid w:val="00DC2B88"/>
    <w:rsid w:val="00DC3C3C"/>
    <w:rsid w:val="00DD0E46"/>
    <w:rsid w:val="00DD2071"/>
    <w:rsid w:val="00DD2B18"/>
    <w:rsid w:val="00DE61E7"/>
    <w:rsid w:val="00DE7F4A"/>
    <w:rsid w:val="00E11B41"/>
    <w:rsid w:val="00E436C7"/>
    <w:rsid w:val="00E43883"/>
    <w:rsid w:val="00E90B34"/>
    <w:rsid w:val="00E90D85"/>
    <w:rsid w:val="00EB6928"/>
    <w:rsid w:val="00EB6A9F"/>
    <w:rsid w:val="00ED1CFD"/>
    <w:rsid w:val="00ED5540"/>
    <w:rsid w:val="00EE0945"/>
    <w:rsid w:val="00EE0F2C"/>
    <w:rsid w:val="00EE2B84"/>
    <w:rsid w:val="00F0219D"/>
    <w:rsid w:val="00F10DE7"/>
    <w:rsid w:val="00F244C2"/>
    <w:rsid w:val="00F42B19"/>
    <w:rsid w:val="00F51380"/>
    <w:rsid w:val="00F554E6"/>
    <w:rsid w:val="00F9607D"/>
    <w:rsid w:val="00FA710A"/>
    <w:rsid w:val="00FB6888"/>
    <w:rsid w:val="00FC3333"/>
    <w:rsid w:val="00FC6F63"/>
    <w:rsid w:val="00FE3BE1"/>
    <w:rsid w:val="0CED7A45"/>
    <w:rsid w:val="0EB71271"/>
    <w:rsid w:val="1084ADE6"/>
    <w:rsid w:val="166DEC6F"/>
    <w:rsid w:val="1806E604"/>
    <w:rsid w:val="1BE7A3F2"/>
    <w:rsid w:val="1F129C69"/>
    <w:rsid w:val="26A74252"/>
    <w:rsid w:val="2B24304B"/>
    <w:rsid w:val="2C57AE4E"/>
    <w:rsid w:val="30FBB82F"/>
    <w:rsid w:val="3123AC1C"/>
    <w:rsid w:val="31323B4D"/>
    <w:rsid w:val="3407DD82"/>
    <w:rsid w:val="34BE316A"/>
    <w:rsid w:val="36765AF3"/>
    <w:rsid w:val="3700FEDA"/>
    <w:rsid w:val="39DA4C28"/>
    <w:rsid w:val="3A3545A8"/>
    <w:rsid w:val="3A47A87B"/>
    <w:rsid w:val="3E1636FD"/>
    <w:rsid w:val="42D86D49"/>
    <w:rsid w:val="45221198"/>
    <w:rsid w:val="47006C67"/>
    <w:rsid w:val="489C3CC8"/>
    <w:rsid w:val="4E53312B"/>
    <w:rsid w:val="570E3E04"/>
    <w:rsid w:val="59E19F29"/>
    <w:rsid w:val="62329E4A"/>
    <w:rsid w:val="6BC05833"/>
    <w:rsid w:val="6C9EAFF7"/>
    <w:rsid w:val="6DDF58D7"/>
    <w:rsid w:val="797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6FBD169"/>
  <w15:chartTrackingRefBased/>
  <w15:docId w15:val="{6B5BA0BD-E707-4C42-8CE6-4F97C1BD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B34"/>
  </w:style>
  <w:style w:type="paragraph" w:styleId="Footer">
    <w:name w:val="footer"/>
    <w:basedOn w:val="Normal"/>
    <w:link w:val="FooterChar"/>
    <w:uiPriority w:val="99"/>
    <w:unhideWhenUsed/>
    <w:rsid w:val="00E90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B34"/>
  </w:style>
  <w:style w:type="character" w:styleId="CommentReference">
    <w:name w:val="annotation reference"/>
    <w:basedOn w:val="DefaultParagraphFont"/>
    <w:uiPriority w:val="99"/>
    <w:semiHidden/>
    <w:unhideWhenUsed/>
    <w:rsid w:val="00BF4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712E"/>
    <w:pPr>
      <w:ind w:left="720"/>
      <w:contextualSpacing/>
    </w:pPr>
  </w:style>
  <w:style w:type="paragraph" w:styleId="Revision">
    <w:name w:val="Revision"/>
    <w:hidden/>
    <w:uiPriority w:val="99"/>
    <w:semiHidden/>
    <w:rsid w:val="0057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5655D12F7104C8BA1180CB64A0714" ma:contentTypeVersion="1" ma:contentTypeDescription="Create a new document." ma:contentTypeScope="" ma:versionID="1c8c2f901ba95d4ed026018b9b97ab01">
  <xsd:schema xmlns:xsd="http://www.w3.org/2001/XMLSchema" xmlns:xs="http://www.w3.org/2001/XMLSchema" xmlns:p="http://schemas.microsoft.com/office/2006/metadata/properties" xmlns:ns2="9619c17e-a9ec-4d35-bc12-1aaed29a0ac2" targetNamespace="http://schemas.microsoft.com/office/2006/metadata/properties" ma:root="true" ma:fieldsID="7bcd7cf858c1b9a379afc578f3448bac" ns2:_="">
    <xsd:import namespace="9619c17e-a9ec-4d35-bc12-1aaed29a0ac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9c17e-a9ec-4d35-bc12-1aaed29a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C51CC-E9D8-4AE5-A756-02D862A13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9c17e-a9ec-4d35-bc12-1aaed29a0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467D3-1FB4-4434-81AE-D8357A9A88A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9619c17e-a9ec-4d35-bc12-1aaed29a0ac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63330F-5725-41D4-A0D3-ABAA657218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ACD5A-6E35-4493-9F49-4BB5464D6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Ravencraft</dc:creator>
  <cp:keywords/>
  <dc:description/>
  <cp:lastModifiedBy>Sarah Jewell</cp:lastModifiedBy>
  <cp:revision>5</cp:revision>
  <dcterms:created xsi:type="dcterms:W3CDTF">2021-08-25T17:37:00Z</dcterms:created>
  <dcterms:modified xsi:type="dcterms:W3CDTF">2021-08-25T17:40:00Z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0x0101004875655D12F7104C8BA1180CB64A0714</vt:lpwstr>
  </property>
</Properties>
</file>